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BE87" w14:textId="77777777" w:rsidR="00331D9C" w:rsidRPr="00331D9C" w:rsidRDefault="00331D9C" w:rsidP="00331D9C">
      <w:r w:rsidRPr="00331D9C">
        <w:rPr>
          <w:b/>
          <w:bCs/>
        </w:rPr>
        <w:t>Перечень документов, используемых при выполнении работ по подтверждению соответствия и определяющих требования к данным работам:</w:t>
      </w:r>
    </w:p>
    <w:p w14:paraId="7D0677DE" w14:textId="0540E09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Федеральный закон от 27 декабря 2002 г. № 184-ФЗ «О техническом регулировании».</w:t>
      </w:r>
    </w:p>
    <w:p w14:paraId="7C3186E4" w14:textId="470C9CE1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Федеральный закон Российской Федерации от 28 декабря 2013 г. № 412-ФЗ «Об аккредитации в национальной системе аккредитации».</w:t>
      </w:r>
    </w:p>
    <w:p w14:paraId="1310D3CA" w14:textId="73F23399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Федеральный закон от 29.07.2004 № 98-ФЗ «О коммерческой тайне».</w:t>
      </w:r>
    </w:p>
    <w:p w14:paraId="0799A2B6" w14:textId="5F4390D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Федеральный закон РФ от 07 февраля 1992 г. № 2300-1 «О защите прав потребителей».</w:t>
      </w:r>
    </w:p>
    <w:p w14:paraId="2C03C7AE" w14:textId="39BF53F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Приказ Минэкономразвития России от 26 октября 2020 г.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 (Зарегистрировано в Минюсте России 16 ноября 2020 г. N 60907).</w:t>
      </w:r>
    </w:p>
    <w:p w14:paraId="28103475" w14:textId="0C8F60B2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Приказ Минэкономразвития России от 24 октября 2020 г.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 (Зарегистрировано в Минюсте России 16 ноября 2020 г. N 60919);</w:t>
      </w:r>
    </w:p>
    <w:p w14:paraId="10B9229B" w14:textId="6D6AB9D6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ИСО/МЭК 17065-2012 «Оценка соответствия. Требования к органам по сертификации продукции, процессов и услуг»;</w:t>
      </w:r>
    </w:p>
    <w:p w14:paraId="29714D55" w14:textId="3DF05460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ISO/IEC 17000-2012 «Оценка соответствия. Словарь и общие принципы»;</w:t>
      </w:r>
    </w:p>
    <w:p w14:paraId="7AB0721E" w14:textId="5913D278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54294-2010/ISO/PAS/17001:2005 «Оценка соответствия. Беспристрастность. Принципы и требования»;</w:t>
      </w:r>
    </w:p>
    <w:p w14:paraId="5E16EA99" w14:textId="26F2096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54296-2010/ISO/PAS 17002:2004 «Оценка соответствия. Конфиденциальность. Принципы и требования»;</w:t>
      </w:r>
    </w:p>
    <w:p w14:paraId="3032D99B" w14:textId="126FA922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54295-2010/ISO/PAS 17003:2004 «Оценка соответствия. Жалобы и апелляции. Принципы и требования»;</w:t>
      </w:r>
    </w:p>
    <w:p w14:paraId="330E9528" w14:textId="37067016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31893-2012 «Оценка соответствия. Система стандартов в области оценки соответствия»;</w:t>
      </w:r>
    </w:p>
    <w:p w14:paraId="517CEEA8" w14:textId="45F795A2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54293-2020 «Анализ состояния производства при подтверждении соответствия»;</w:t>
      </w:r>
    </w:p>
    <w:p w14:paraId="40DC75AD" w14:textId="0127A7A9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14:paraId="649B5519" w14:textId="7E7678B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58972-2020 «Оценка соответствия. Общие правила отбора образцов для испытаний продукции при подтверждении соответствия»;</w:t>
      </w:r>
    </w:p>
    <w:p w14:paraId="361C8576" w14:textId="33216B7B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ISO/IEC 17025-2019 «Общие требования к компетентности испытательных и калибровочных лабораторий» в части требований к содержанию протокола испытаний, отражённого в п.7.8 настоящего стандарта;</w:t>
      </w:r>
    </w:p>
    <w:p w14:paraId="7F38D07D" w14:textId="5CD83F0F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ИСО/МЭК 17021-1-2017 «Оценка соответствия. Требования к органам, проводящим аудит и сертификацию систем менеджмента. Часть 1. Требования» в части требований к содержанию сертификата системы менеджмента, отражённого в п.8.2.2 настоящего стандарта;</w:t>
      </w:r>
    </w:p>
    <w:p w14:paraId="41A33655" w14:textId="344381E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Р 58984-2020 «Оценка соответствия. Порядок проведения инспекционного контроля в процедурах сертификации»;</w:t>
      </w:r>
    </w:p>
    <w:p w14:paraId="2D683C83" w14:textId="2BD46A93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ГОСТ 31816-2012 «Оценка соответствия. Применение знаков, указывающих о соответствии»;</w:t>
      </w:r>
    </w:p>
    <w:p w14:paraId="108063F7" w14:textId="5C9CF09B" w:rsidR="00331D9C" w:rsidRPr="00331D9C" w:rsidRDefault="00331D9C" w:rsidP="007A2169">
      <w:pPr>
        <w:pStyle w:val="a7"/>
        <w:numPr>
          <w:ilvl w:val="0"/>
          <w:numId w:val="1"/>
        </w:numPr>
        <w:ind w:left="284"/>
      </w:pPr>
      <w:r w:rsidRPr="00331D9C">
        <w:t>Приказ МИНИСТЕРСТВА ЭКОНОМИЧЕСКОГО РАЗВИТИЯ РОССИЙСКОЙ ФЕДЕРАЦИИ от 30 июля 2020 года N 473 «Об установлении изображений знака национальной системы аккредитации, в том числе в комбинации со знаками международных организаций по аккредитации, и порядка их применения»</w:t>
      </w:r>
      <w:r w:rsidR="007A2169">
        <w:t>.</w:t>
      </w:r>
    </w:p>
    <w:sectPr w:rsidR="00331D9C" w:rsidRPr="0033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C40A8"/>
    <w:multiLevelType w:val="hybridMultilevel"/>
    <w:tmpl w:val="482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57"/>
    <w:rsid w:val="000E3F39"/>
    <w:rsid w:val="00331D9C"/>
    <w:rsid w:val="00344451"/>
    <w:rsid w:val="00387AF9"/>
    <w:rsid w:val="005B7457"/>
    <w:rsid w:val="005B7BC6"/>
    <w:rsid w:val="006925E8"/>
    <w:rsid w:val="007A2169"/>
    <w:rsid w:val="009E6576"/>
    <w:rsid w:val="00B11AFA"/>
    <w:rsid w:val="00E02142"/>
    <w:rsid w:val="00E6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DE0"/>
  <w15:chartTrackingRefBased/>
  <w15:docId w15:val="{2A4D7F63-3774-4C72-BE14-CD1174E1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7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74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4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7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7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7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74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4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74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74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2025-06-09T07:40:00Z</dcterms:created>
  <dcterms:modified xsi:type="dcterms:W3CDTF">2025-06-16T14:13:00Z</dcterms:modified>
</cp:coreProperties>
</file>